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A77" w:rsidRDefault="000D1A77" w:rsidP="00D376D4">
      <w:pPr>
        <w:jc w:val="both"/>
        <w:rPr>
          <w:rFonts w:ascii="Calibri" w:hAnsi="Calibri" w:cs="Calibri"/>
          <w:b/>
          <w:sz w:val="30"/>
          <w:szCs w:val="30"/>
        </w:rPr>
      </w:pPr>
    </w:p>
    <w:p w:rsidR="00D376D4" w:rsidRPr="00446CE1" w:rsidRDefault="00D376D4" w:rsidP="00D376D4">
      <w:pPr>
        <w:jc w:val="both"/>
        <w:rPr>
          <w:rFonts w:ascii="Calibri" w:hAnsi="Calibri" w:cs="Calibri"/>
          <w:b/>
          <w:sz w:val="30"/>
          <w:szCs w:val="30"/>
        </w:rPr>
      </w:pPr>
      <w:bookmarkStart w:id="0" w:name="_GoBack"/>
      <w:bookmarkEnd w:id="0"/>
      <w:r w:rsidRPr="00446CE1">
        <w:rPr>
          <w:rFonts w:ascii="Calibri" w:hAnsi="Calibri" w:cs="Calibri"/>
          <w:b/>
          <w:sz w:val="30"/>
          <w:szCs w:val="30"/>
        </w:rPr>
        <w:t>MODIFICACIÓN DE LA ORDENANZA FISCAL REGULADORA DE LAS TASAS POR PRESTACIÓN DE SERVICIOS DEL CEMENTERIO DE ZIZUR MAYOR-ZIZUR NAGUSIA</w:t>
      </w:r>
    </w:p>
    <w:p w:rsidR="00D376D4" w:rsidRPr="00D45C26" w:rsidRDefault="00D376D4" w:rsidP="00EA2422">
      <w:pPr>
        <w:rPr>
          <w:rFonts w:ascii="Calibri" w:hAnsi="Calibri" w:cs="Calibri"/>
          <w:sz w:val="22"/>
          <w:szCs w:val="22"/>
        </w:rPr>
      </w:pPr>
    </w:p>
    <w:p w:rsidR="00D376D4" w:rsidRPr="003F4991" w:rsidRDefault="00D376D4" w:rsidP="00EA2422">
      <w:pPr>
        <w:rPr>
          <w:rFonts w:ascii="Calibri" w:hAnsi="Calibri" w:cs="Calibri"/>
          <w:sz w:val="24"/>
          <w:szCs w:val="24"/>
        </w:rPr>
      </w:pPr>
    </w:p>
    <w:p w:rsidR="00E06453" w:rsidRDefault="00E06453" w:rsidP="00EA2422">
      <w:pPr>
        <w:rPr>
          <w:rFonts w:ascii="Calibri" w:hAnsi="Calibri" w:cs="Calibri"/>
          <w:sz w:val="22"/>
          <w:szCs w:val="22"/>
        </w:rPr>
      </w:pPr>
      <w:r w:rsidRPr="00E06453">
        <w:rPr>
          <w:rFonts w:ascii="Calibri" w:hAnsi="Calibri" w:cs="Calibri"/>
          <w:sz w:val="24"/>
          <w:szCs w:val="24"/>
        </w:rPr>
        <w:t>Ordenanza aprobada en Pleno del Ayuntamiento de Zizur Mayor, en sesión celebrada el día 27 de noviembre de 2015</w:t>
      </w:r>
      <w:r>
        <w:rPr>
          <w:rFonts w:ascii="Calibri" w:hAnsi="Calibri" w:cs="Calibri"/>
          <w:sz w:val="22"/>
          <w:szCs w:val="22"/>
        </w:rPr>
        <w:t>.</w:t>
      </w:r>
    </w:p>
    <w:p w:rsidR="00E36D71" w:rsidRDefault="00E36D71" w:rsidP="00EA242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Publicada en BON nº 30, de 15 de febrero de 2016</w:t>
      </w:r>
    </w:p>
    <w:p w:rsidR="00E36D71" w:rsidRDefault="00E36D71" w:rsidP="00EA2422">
      <w:pPr>
        <w:rPr>
          <w:rFonts w:ascii="Calibri" w:hAnsi="Calibri" w:cs="Calibri"/>
          <w:sz w:val="22"/>
          <w:szCs w:val="22"/>
        </w:rPr>
      </w:pPr>
    </w:p>
    <w:p w:rsidR="00E06453" w:rsidRPr="003F4991" w:rsidRDefault="00E06453" w:rsidP="00EA2422">
      <w:pPr>
        <w:rPr>
          <w:rFonts w:ascii="Calibri" w:hAnsi="Calibri" w:cs="Calibri"/>
          <w:sz w:val="24"/>
          <w:szCs w:val="24"/>
        </w:rPr>
      </w:pPr>
    </w:p>
    <w:p w:rsidR="003F4991" w:rsidRPr="003F4991" w:rsidRDefault="003F4991" w:rsidP="00EA2422">
      <w:pPr>
        <w:rPr>
          <w:rFonts w:ascii="Calibri" w:hAnsi="Calibri" w:cs="Calibri"/>
          <w:b/>
          <w:sz w:val="24"/>
          <w:szCs w:val="24"/>
          <w:u w:val="single"/>
        </w:rPr>
      </w:pPr>
      <w:r w:rsidRPr="003F4991">
        <w:rPr>
          <w:rFonts w:ascii="Calibri" w:hAnsi="Calibri" w:cs="Calibri"/>
          <w:b/>
          <w:sz w:val="24"/>
          <w:szCs w:val="24"/>
          <w:u w:val="single"/>
        </w:rPr>
        <w:t xml:space="preserve">Artículos </w:t>
      </w:r>
      <w:r w:rsidR="006B43F4">
        <w:rPr>
          <w:rFonts w:ascii="Calibri" w:hAnsi="Calibri" w:cs="Calibri"/>
          <w:b/>
          <w:sz w:val="24"/>
          <w:szCs w:val="24"/>
          <w:u w:val="single"/>
        </w:rPr>
        <w:t xml:space="preserve"> y disposiciones </w:t>
      </w:r>
      <w:r w:rsidRPr="003F4991">
        <w:rPr>
          <w:rFonts w:ascii="Calibri" w:hAnsi="Calibri" w:cs="Calibri"/>
          <w:b/>
          <w:sz w:val="24"/>
          <w:szCs w:val="24"/>
          <w:u w:val="single"/>
        </w:rPr>
        <w:t>a modificar</w:t>
      </w:r>
    </w:p>
    <w:p w:rsidR="003F4991" w:rsidRPr="003F4991" w:rsidRDefault="003F4991" w:rsidP="00EA2422">
      <w:pPr>
        <w:rPr>
          <w:rFonts w:ascii="Calibri" w:hAnsi="Calibri" w:cs="Calibri"/>
          <w:sz w:val="24"/>
          <w:szCs w:val="24"/>
        </w:rPr>
      </w:pPr>
    </w:p>
    <w:p w:rsidR="003F4991" w:rsidRPr="003F4991" w:rsidRDefault="003F4991" w:rsidP="003F4991">
      <w:pPr>
        <w:jc w:val="center"/>
        <w:rPr>
          <w:rFonts w:ascii="Calibri" w:hAnsi="Calibri" w:cs="Calibri"/>
          <w:sz w:val="24"/>
          <w:szCs w:val="24"/>
        </w:rPr>
      </w:pPr>
      <w:r w:rsidRPr="003F4991">
        <w:rPr>
          <w:rFonts w:ascii="Calibri" w:hAnsi="Calibri" w:cs="Calibri"/>
          <w:sz w:val="24"/>
          <w:szCs w:val="24"/>
        </w:rPr>
        <w:t>Vencimiento y renovación</w:t>
      </w:r>
    </w:p>
    <w:p w:rsidR="003F4991" w:rsidRPr="003F4991" w:rsidRDefault="003F4991" w:rsidP="00EA2422">
      <w:pPr>
        <w:rPr>
          <w:rFonts w:ascii="Calibri" w:hAnsi="Calibri" w:cs="Calibri"/>
          <w:sz w:val="24"/>
          <w:szCs w:val="24"/>
        </w:rPr>
      </w:pPr>
      <w:r w:rsidRPr="003F4991">
        <w:rPr>
          <w:rFonts w:ascii="Calibri" w:hAnsi="Calibri" w:cs="Calibri"/>
          <w:sz w:val="24"/>
          <w:szCs w:val="24"/>
        </w:rPr>
        <w:t>Artículo 8.</w:t>
      </w:r>
    </w:p>
    <w:p w:rsidR="003F4991" w:rsidRPr="003F4991" w:rsidRDefault="003F4991" w:rsidP="00EA2422">
      <w:pPr>
        <w:rPr>
          <w:rFonts w:ascii="Calibri" w:hAnsi="Calibri" w:cs="Calibri"/>
          <w:sz w:val="24"/>
          <w:szCs w:val="24"/>
        </w:rPr>
      </w:pPr>
    </w:p>
    <w:p w:rsidR="003F4991" w:rsidRDefault="003E088F" w:rsidP="003E088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Cada año se producirá la caducidad del derecho funerario de los nichos y columb</w:t>
      </w:r>
      <w:r w:rsidR="009901A4">
        <w:rPr>
          <w:rFonts w:ascii="Calibri" w:hAnsi="Calibri" w:cs="Calibri"/>
          <w:sz w:val="24"/>
          <w:szCs w:val="24"/>
        </w:rPr>
        <w:t>arios que cumplan diez, veinte,</w:t>
      </w:r>
      <w:r>
        <w:rPr>
          <w:rFonts w:ascii="Calibri" w:hAnsi="Calibri" w:cs="Calibri"/>
          <w:sz w:val="24"/>
          <w:szCs w:val="24"/>
        </w:rPr>
        <w:t xml:space="preserve"> treinta</w:t>
      </w:r>
      <w:r w:rsidR="009901A4">
        <w:rPr>
          <w:rFonts w:ascii="Calibri" w:hAnsi="Calibri" w:cs="Calibri"/>
          <w:sz w:val="24"/>
          <w:szCs w:val="24"/>
        </w:rPr>
        <w:t xml:space="preserve"> y </w:t>
      </w:r>
      <w:r w:rsidR="009901A4" w:rsidRPr="006663E2">
        <w:rPr>
          <w:rFonts w:ascii="Calibri" w:hAnsi="Calibri" w:cs="Calibri"/>
          <w:b/>
          <w:color w:val="2E74B5"/>
          <w:sz w:val="24"/>
          <w:szCs w:val="24"/>
        </w:rPr>
        <w:t>cuarenta</w:t>
      </w:r>
      <w:r w:rsidR="00AA0CFF" w:rsidRPr="006663E2">
        <w:rPr>
          <w:rFonts w:ascii="Calibri" w:hAnsi="Calibri" w:cs="Calibri"/>
          <w:b/>
          <w:color w:val="2E74B5"/>
          <w:sz w:val="24"/>
          <w:szCs w:val="24"/>
        </w:rPr>
        <w:t>*</w:t>
      </w:r>
      <w:r>
        <w:rPr>
          <w:rFonts w:ascii="Calibri" w:hAnsi="Calibri" w:cs="Calibri"/>
          <w:sz w:val="24"/>
          <w:szCs w:val="24"/>
        </w:rPr>
        <w:t xml:space="preserve"> años desde el año de su concesión inicial o de sus respectivas prórrogas. Durante el año anterior a aquél en que se produzca la caducidad y, en todo caso, antes del 31 de diciembre, deberá solicitarse o bien la prórroga, si ésta fuera posible conforme a la presente Ordenanza, o bien el traslado de los restos cadavéricos a otro destino. En caso de no producirse solicitud alguna, los restos cadavéricos serán trasladados al osario general.</w:t>
      </w:r>
    </w:p>
    <w:p w:rsidR="003E088F" w:rsidRPr="00D45C26" w:rsidRDefault="003E088F" w:rsidP="003E088F">
      <w:pPr>
        <w:jc w:val="both"/>
        <w:rPr>
          <w:rFonts w:ascii="Calibri" w:hAnsi="Calibri" w:cs="Calibri"/>
          <w:sz w:val="22"/>
          <w:szCs w:val="22"/>
        </w:rPr>
      </w:pPr>
    </w:p>
    <w:p w:rsidR="003E088F" w:rsidRDefault="003E088F" w:rsidP="003E088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Durante el primer trimestre de cada año, el Ayuntamiento de Zizur Mayor informará de los nicho</w:t>
      </w:r>
      <w:r w:rsidR="00A85E4C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 xml:space="preserve"> y columbarios que caducarán al año siguiente</w:t>
      </w:r>
    </w:p>
    <w:p w:rsidR="003E088F" w:rsidRPr="00446CE1" w:rsidRDefault="003E088F" w:rsidP="003E088F">
      <w:pPr>
        <w:jc w:val="both"/>
        <w:rPr>
          <w:rFonts w:ascii="Calibri" w:hAnsi="Calibri" w:cs="Calibri"/>
        </w:rPr>
      </w:pPr>
    </w:p>
    <w:p w:rsidR="004700F7" w:rsidRDefault="004700F7" w:rsidP="003E088F">
      <w:pPr>
        <w:jc w:val="both"/>
        <w:rPr>
          <w:rFonts w:ascii="Calibri" w:hAnsi="Calibri" w:cs="Calibri"/>
        </w:rPr>
      </w:pPr>
    </w:p>
    <w:p w:rsidR="000D1A77" w:rsidRPr="000D1A77" w:rsidRDefault="000D1A77" w:rsidP="003E088F">
      <w:pPr>
        <w:jc w:val="both"/>
        <w:rPr>
          <w:rFonts w:ascii="Calibri" w:hAnsi="Calibri" w:cs="Calibri"/>
          <w:b/>
          <w:color w:val="2E74B5"/>
          <w:sz w:val="24"/>
          <w:szCs w:val="24"/>
        </w:rPr>
      </w:pPr>
      <w:r w:rsidRPr="000D1A77">
        <w:rPr>
          <w:rFonts w:ascii="Calibri" w:hAnsi="Calibri" w:cs="Calibri"/>
          <w:sz w:val="24"/>
          <w:szCs w:val="24"/>
        </w:rPr>
        <w:t xml:space="preserve">Se modifica la DISPOSICIÓN TRANSITORIA pasando a ser </w:t>
      </w:r>
      <w:r w:rsidRPr="000D1A77">
        <w:rPr>
          <w:rFonts w:ascii="Calibri" w:hAnsi="Calibri" w:cs="Calibri"/>
          <w:b/>
          <w:color w:val="2E74B5"/>
          <w:sz w:val="24"/>
          <w:szCs w:val="24"/>
        </w:rPr>
        <w:t>DISPOSICIÓN TRANSITORIA 1</w:t>
      </w:r>
    </w:p>
    <w:p w:rsidR="000D1A77" w:rsidRDefault="000D1A77" w:rsidP="003E088F">
      <w:pPr>
        <w:jc w:val="both"/>
        <w:rPr>
          <w:rFonts w:ascii="Calibri" w:hAnsi="Calibri" w:cs="Calibri"/>
        </w:rPr>
      </w:pPr>
    </w:p>
    <w:p w:rsidR="000D1A77" w:rsidRDefault="000D1A77" w:rsidP="003E088F">
      <w:pPr>
        <w:jc w:val="both"/>
        <w:rPr>
          <w:rFonts w:ascii="Calibri" w:hAnsi="Calibri" w:cs="Calibri"/>
          <w:b/>
          <w:color w:val="2E74B5"/>
          <w:sz w:val="24"/>
          <w:szCs w:val="24"/>
        </w:rPr>
      </w:pPr>
      <w:r w:rsidRPr="000D1A77">
        <w:rPr>
          <w:rFonts w:ascii="Calibri" w:hAnsi="Calibri" w:cs="Calibri"/>
          <w:sz w:val="24"/>
          <w:szCs w:val="24"/>
        </w:rPr>
        <w:t>SE AÑADE:</w:t>
      </w:r>
      <w:r w:rsidRPr="000D1A77">
        <w:rPr>
          <w:rFonts w:ascii="Calibri" w:hAnsi="Calibri" w:cs="Calibri"/>
          <w:b/>
          <w:color w:val="2E74B5"/>
          <w:sz w:val="24"/>
          <w:szCs w:val="24"/>
        </w:rPr>
        <w:t xml:space="preserve"> DISPOSICIÓN TRANSITORIA 2</w:t>
      </w:r>
    </w:p>
    <w:p w:rsidR="003E088F" w:rsidRPr="00D45C26" w:rsidRDefault="003E088F" w:rsidP="00EA2422">
      <w:pPr>
        <w:rPr>
          <w:rFonts w:ascii="Calibri" w:hAnsi="Calibri" w:cs="Calibri"/>
          <w:sz w:val="22"/>
          <w:szCs w:val="22"/>
        </w:rPr>
      </w:pPr>
    </w:p>
    <w:p w:rsidR="003E088F" w:rsidRDefault="00A85E4C" w:rsidP="006B43F4">
      <w:pPr>
        <w:jc w:val="both"/>
        <w:rPr>
          <w:rFonts w:ascii="Calibri" w:hAnsi="Calibri" w:cs="Calibri"/>
          <w:b/>
          <w:color w:val="2E74B5"/>
          <w:sz w:val="24"/>
          <w:szCs w:val="24"/>
        </w:rPr>
      </w:pPr>
      <w:r w:rsidRPr="006663E2">
        <w:rPr>
          <w:rFonts w:ascii="Calibri" w:hAnsi="Calibri" w:cs="Calibri"/>
          <w:b/>
          <w:color w:val="2E74B5"/>
          <w:sz w:val="24"/>
          <w:szCs w:val="24"/>
        </w:rPr>
        <w:t>Todas las s</w:t>
      </w:r>
      <w:r w:rsidR="00D45C26" w:rsidRPr="006663E2">
        <w:rPr>
          <w:rFonts w:ascii="Calibri" w:hAnsi="Calibri" w:cs="Calibri"/>
          <w:b/>
          <w:color w:val="2E74B5"/>
          <w:sz w:val="24"/>
          <w:szCs w:val="24"/>
        </w:rPr>
        <w:t>epulturas del Grupo 2 deberán</w:t>
      </w:r>
      <w:r w:rsidRPr="006663E2">
        <w:rPr>
          <w:rFonts w:ascii="Calibri" w:hAnsi="Calibri" w:cs="Calibri"/>
          <w:b/>
          <w:color w:val="2E74B5"/>
          <w:sz w:val="24"/>
          <w:szCs w:val="24"/>
        </w:rPr>
        <w:t xml:space="preserve"> ser exhumadas y los restos cadavéricos trasladados a un columbario o al osario general. </w:t>
      </w:r>
    </w:p>
    <w:p w:rsidR="000D1A77" w:rsidRDefault="000D1A77" w:rsidP="006B43F4">
      <w:pPr>
        <w:jc w:val="both"/>
        <w:rPr>
          <w:rFonts w:ascii="Calibri" w:hAnsi="Calibri" w:cs="Calibri"/>
          <w:b/>
          <w:color w:val="2E74B5"/>
          <w:sz w:val="24"/>
          <w:szCs w:val="24"/>
        </w:rPr>
      </w:pPr>
      <w:r>
        <w:rPr>
          <w:rFonts w:ascii="Calibri" w:hAnsi="Calibri" w:cs="Calibri"/>
          <w:b/>
          <w:color w:val="2E74B5"/>
          <w:sz w:val="24"/>
          <w:szCs w:val="24"/>
        </w:rPr>
        <w:t>Existirá también la opción de ser entregados a familiares para la cremación de los restos cadavéricos e inhumarlos en otra sepultura en este o en otro cementerio.</w:t>
      </w:r>
    </w:p>
    <w:p w:rsidR="000D1A77" w:rsidRDefault="000D1A77" w:rsidP="006B43F4">
      <w:pPr>
        <w:jc w:val="both"/>
        <w:rPr>
          <w:rFonts w:ascii="Calibri" w:hAnsi="Calibri" w:cs="Calibri"/>
          <w:b/>
          <w:color w:val="2E74B5"/>
          <w:sz w:val="24"/>
          <w:szCs w:val="24"/>
        </w:rPr>
      </w:pPr>
    </w:p>
    <w:p w:rsidR="000D1A77" w:rsidRPr="006663E2" w:rsidRDefault="000D1A77" w:rsidP="006B43F4">
      <w:pPr>
        <w:jc w:val="both"/>
        <w:rPr>
          <w:rFonts w:ascii="Calibri" w:hAnsi="Calibri" w:cs="Calibri"/>
          <w:b/>
          <w:color w:val="2E74B5"/>
          <w:sz w:val="24"/>
          <w:szCs w:val="24"/>
        </w:rPr>
      </w:pPr>
      <w:r>
        <w:rPr>
          <w:rFonts w:ascii="Calibri" w:hAnsi="Calibri" w:cs="Calibri"/>
          <w:b/>
          <w:color w:val="2E74B5"/>
          <w:sz w:val="24"/>
          <w:szCs w:val="24"/>
        </w:rPr>
        <w:t>Esta actuación deberá realizarse y completarse antes de:……………… (</w:t>
      </w:r>
      <w:proofErr w:type="gramStart"/>
      <w:r>
        <w:rPr>
          <w:rFonts w:ascii="Calibri" w:hAnsi="Calibri" w:cs="Calibri"/>
          <w:b/>
          <w:color w:val="2E74B5"/>
          <w:sz w:val="24"/>
          <w:szCs w:val="24"/>
        </w:rPr>
        <w:t>indicar</w:t>
      </w:r>
      <w:proofErr w:type="gramEnd"/>
      <w:r>
        <w:rPr>
          <w:rFonts w:ascii="Calibri" w:hAnsi="Calibri" w:cs="Calibri"/>
          <w:b/>
          <w:color w:val="2E74B5"/>
          <w:sz w:val="24"/>
          <w:szCs w:val="24"/>
        </w:rPr>
        <w:t xml:space="preserve"> la fecha)</w:t>
      </w:r>
    </w:p>
    <w:p w:rsidR="003E088F" w:rsidRDefault="003E088F" w:rsidP="00EA2422">
      <w:pPr>
        <w:rPr>
          <w:rFonts w:ascii="Calibri" w:hAnsi="Calibri" w:cs="Calibri"/>
          <w:sz w:val="22"/>
          <w:szCs w:val="22"/>
        </w:rPr>
      </w:pPr>
    </w:p>
    <w:p w:rsidR="004700F7" w:rsidRPr="00D45C26" w:rsidRDefault="004700F7" w:rsidP="00EA2422">
      <w:pPr>
        <w:rPr>
          <w:rFonts w:ascii="Calibri" w:hAnsi="Calibri" w:cs="Calibri"/>
          <w:sz w:val="22"/>
          <w:szCs w:val="22"/>
        </w:rPr>
      </w:pPr>
    </w:p>
    <w:p w:rsidR="003E088F" w:rsidRDefault="00A85E4C" w:rsidP="00A85E4C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ANEXO DE TASAS</w:t>
      </w:r>
    </w:p>
    <w:p w:rsidR="003E088F" w:rsidRPr="00D45C26" w:rsidRDefault="003E088F" w:rsidP="00EA2422">
      <w:pPr>
        <w:rPr>
          <w:rFonts w:ascii="Calibri" w:hAnsi="Calibri" w:cs="Calibri"/>
          <w:sz w:val="22"/>
          <w:szCs w:val="22"/>
        </w:rPr>
      </w:pPr>
    </w:p>
    <w:p w:rsidR="003E088F" w:rsidRDefault="00A85E4C" w:rsidP="00EA242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Epígrafe III.-Concesión de nichos, panteones y columbarios</w:t>
      </w:r>
    </w:p>
    <w:p w:rsidR="00A85E4C" w:rsidRDefault="00A85E4C" w:rsidP="00EA2422">
      <w:pPr>
        <w:rPr>
          <w:rFonts w:ascii="Calibri" w:hAnsi="Calibri" w:cs="Calibri"/>
          <w:sz w:val="24"/>
          <w:szCs w:val="24"/>
        </w:rPr>
      </w:pPr>
    </w:p>
    <w:p w:rsidR="00A85E4C" w:rsidRDefault="00A85E4C" w:rsidP="00A85E4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-Nichos:</w:t>
      </w:r>
    </w:p>
    <w:p w:rsidR="00A85E4C" w:rsidRDefault="00A85E4C" w:rsidP="00A85E4C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Concesión por  10 años:</w:t>
      </w:r>
    </w:p>
    <w:p w:rsidR="00A85E4C" w:rsidRDefault="00A85E4C" w:rsidP="00A85E4C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6663E2">
        <w:rPr>
          <w:rFonts w:ascii="Calibri" w:hAnsi="Calibri" w:cs="Calibri"/>
          <w:b/>
          <w:color w:val="2E74B5"/>
          <w:sz w:val="24"/>
          <w:szCs w:val="24"/>
        </w:rPr>
        <w:t>Tres prórrogas</w:t>
      </w:r>
      <w:r>
        <w:rPr>
          <w:rFonts w:ascii="Calibri" w:hAnsi="Calibri" w:cs="Calibri"/>
          <w:sz w:val="24"/>
          <w:szCs w:val="24"/>
        </w:rPr>
        <w:t xml:space="preserve"> de 10 años cada una</w:t>
      </w:r>
    </w:p>
    <w:p w:rsidR="00A85E4C" w:rsidRDefault="00A85E4C" w:rsidP="00A85E4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-Columbario cinerario (para cenizas):</w:t>
      </w:r>
    </w:p>
    <w:p w:rsidR="003E088F" w:rsidRDefault="00A85E4C" w:rsidP="00A85E4C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Concesión por 10 años:</w:t>
      </w:r>
    </w:p>
    <w:p w:rsidR="00A85E4C" w:rsidRDefault="00A85E4C" w:rsidP="00A85E4C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6B43F4">
        <w:rPr>
          <w:rFonts w:ascii="Calibri" w:hAnsi="Calibri" w:cs="Calibri"/>
          <w:b/>
          <w:color w:val="2E74B5"/>
          <w:sz w:val="24"/>
          <w:szCs w:val="24"/>
        </w:rPr>
        <w:t>Tres prórrogas</w:t>
      </w:r>
      <w:r>
        <w:rPr>
          <w:rFonts w:ascii="Calibri" w:hAnsi="Calibri" w:cs="Calibri"/>
          <w:sz w:val="24"/>
          <w:szCs w:val="24"/>
        </w:rPr>
        <w:t xml:space="preserve"> de 10 años cada una</w:t>
      </w:r>
    </w:p>
    <w:p w:rsidR="00D45C26" w:rsidRDefault="00D45C26" w:rsidP="00D45C2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-Columbarios (para restos cadavéricos):</w:t>
      </w:r>
    </w:p>
    <w:p w:rsidR="00D45C26" w:rsidRDefault="00D45C26" w:rsidP="00D45C26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Concesión única por 10 años.</w:t>
      </w:r>
    </w:p>
    <w:p w:rsidR="00D45C26" w:rsidRDefault="00D45C26" w:rsidP="00D45C26">
      <w:pPr>
        <w:rPr>
          <w:rFonts w:ascii="Calibri" w:hAnsi="Calibri" w:cs="Calibri"/>
          <w:sz w:val="24"/>
          <w:szCs w:val="24"/>
        </w:rPr>
      </w:pPr>
    </w:p>
    <w:p w:rsidR="00446CE1" w:rsidRDefault="00446CE1" w:rsidP="00D45C2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Zizur Mayor-Zizur Nagusia, 28 de octubre de 2020</w:t>
      </w:r>
    </w:p>
    <w:p w:rsidR="004700F7" w:rsidRDefault="004700F7" w:rsidP="006B43F4">
      <w:pPr>
        <w:jc w:val="center"/>
        <w:rPr>
          <w:rFonts w:ascii="Calibri" w:hAnsi="Calibri" w:cs="Calibri"/>
          <w:color w:val="2E74B5"/>
          <w:sz w:val="24"/>
          <w:szCs w:val="24"/>
        </w:rPr>
      </w:pPr>
    </w:p>
    <w:p w:rsidR="00446CE1" w:rsidRDefault="00446CE1" w:rsidP="006B43F4">
      <w:pPr>
        <w:jc w:val="center"/>
        <w:rPr>
          <w:rFonts w:ascii="Calibri" w:hAnsi="Calibri" w:cs="Calibri"/>
          <w:color w:val="2E74B5"/>
          <w:sz w:val="24"/>
          <w:szCs w:val="24"/>
        </w:rPr>
      </w:pPr>
    </w:p>
    <w:p w:rsidR="003E088F" w:rsidRPr="00446CE1" w:rsidRDefault="00AA0CFF" w:rsidP="006B43F4">
      <w:pPr>
        <w:jc w:val="center"/>
        <w:rPr>
          <w:rFonts w:ascii="Calibri" w:hAnsi="Calibri" w:cs="Calibri"/>
          <w:b/>
          <w:color w:val="2E74B5"/>
        </w:rPr>
      </w:pPr>
      <w:r w:rsidRPr="00446CE1">
        <w:rPr>
          <w:rFonts w:ascii="Calibri" w:hAnsi="Calibri" w:cs="Calibri"/>
          <w:b/>
          <w:color w:val="2E74B5"/>
        </w:rPr>
        <w:t>*</w:t>
      </w:r>
      <w:r w:rsidR="00A85E4C" w:rsidRPr="00446CE1">
        <w:rPr>
          <w:rFonts w:ascii="Calibri" w:hAnsi="Calibri" w:cs="Calibri"/>
          <w:b/>
          <w:color w:val="2E74B5"/>
        </w:rPr>
        <w:t>En color azul, las modificaciones a introducir.</w:t>
      </w:r>
    </w:p>
    <w:sectPr w:rsidR="003E088F" w:rsidRPr="00446CE1" w:rsidSect="00D45C26">
      <w:footerReference w:type="default" r:id="rId8"/>
      <w:pgSz w:w="11906" w:h="16838" w:code="9"/>
      <w:pgMar w:top="1191" w:right="1134" w:bottom="907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6D4" w:rsidRDefault="00D376D4" w:rsidP="00323CA9">
      <w:r>
        <w:separator/>
      </w:r>
    </w:p>
  </w:endnote>
  <w:endnote w:type="continuationSeparator" w:id="0">
    <w:p w:rsidR="00D376D4" w:rsidRDefault="00D376D4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6D4" w:rsidRDefault="00D376D4">
    <w:pPr>
      <w:pStyle w:val="Piedepgina"/>
    </w:pPr>
    <w:bookmarkStart w:id="1" w:name="codbarraspie1"/>
    <w:bookmarkEnd w:id="1"/>
  </w:p>
  <w:p w:rsidR="00D376D4" w:rsidRDefault="00D376D4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6D4" w:rsidRDefault="00D376D4" w:rsidP="00323CA9">
      <w:r>
        <w:separator/>
      </w:r>
    </w:p>
  </w:footnote>
  <w:footnote w:type="continuationSeparator" w:id="0">
    <w:p w:rsidR="00D376D4" w:rsidRDefault="00D376D4" w:rsidP="00323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D4712"/>
    <w:multiLevelType w:val="hybridMultilevel"/>
    <w:tmpl w:val="7AC08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B3206D"/>
    <w:multiLevelType w:val="hybridMultilevel"/>
    <w:tmpl w:val="EBF83FA8"/>
    <w:lvl w:ilvl="0" w:tplc="AED6E168"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52653589"/>
    <w:multiLevelType w:val="hybridMultilevel"/>
    <w:tmpl w:val="0B844938"/>
    <w:lvl w:ilvl="0" w:tplc="B79EC4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BB6FAF"/>
    <w:multiLevelType w:val="hybridMultilevel"/>
    <w:tmpl w:val="D96CBD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5D556B"/>
    <w:multiLevelType w:val="hybridMultilevel"/>
    <w:tmpl w:val="83B2D2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A61B6C"/>
    <w:multiLevelType w:val="hybridMultilevel"/>
    <w:tmpl w:val="EA600B60"/>
    <w:lvl w:ilvl="0" w:tplc="B79EC4C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76D4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1A77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088F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4991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6CE1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0F7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3E2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3F4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01A4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5E4C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0CFF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1A72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376D4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C2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453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6D71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Entidad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Razquin Lizarraga</dc:creator>
  <cp:lastModifiedBy>Isabel Razquin Lizarraga</cp:lastModifiedBy>
  <cp:revision>6</cp:revision>
  <cp:lastPrinted>2020-10-28T09:18:00Z</cp:lastPrinted>
  <dcterms:created xsi:type="dcterms:W3CDTF">2020-10-28T08:53:00Z</dcterms:created>
  <dcterms:modified xsi:type="dcterms:W3CDTF">2020-10-28T12:24:00Z</dcterms:modified>
</cp:coreProperties>
</file>